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2182_ES25_TFB01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IGS Nieder-Olm Umgestaltung Pausenhof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Landschafts-, Tief- und 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